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3D2" w:rsidRPr="009A53D2" w:rsidRDefault="009A53D2" w:rsidP="009A53D2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9A53D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9A53D2" w:rsidRPr="009A53D2" w:rsidRDefault="009A53D2" w:rsidP="009A53D2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9A53D2" w:rsidRPr="009A53D2" w:rsidRDefault="009A53D2" w:rsidP="009A53D2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9A53D2" w:rsidRPr="009A53D2" w:rsidRDefault="009A53D2" w:rsidP="009A53D2">
      <w:pPr>
        <w:rPr>
          <w:rFonts w:ascii="Times New Roman" w:eastAsia="Calibri" w:hAnsi="Times New Roman" w:cs="Times New Roman"/>
          <w:sz w:val="24"/>
          <w:szCs w:val="24"/>
        </w:rPr>
      </w:pPr>
    </w:p>
    <w:p w:rsidR="009A53D2" w:rsidRPr="009A53D2" w:rsidRDefault="009A53D2" w:rsidP="009A53D2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Исх. № </w:t>
      </w:r>
      <w:r w:rsidR="00676143" w:rsidRPr="0067614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Исх. № 01-01210/23и от 15 февраля 2022 года</w:t>
      </w:r>
    </w:p>
    <w:p w:rsidR="009A53D2" w:rsidRPr="009A53D2" w:rsidRDefault="009A53D2" w:rsidP="009A53D2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9A53D2" w:rsidRPr="009A53D2" w:rsidRDefault="009A53D2" w:rsidP="009A53D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A53D2" w:rsidRPr="009A53D2" w:rsidRDefault="009A53D2" w:rsidP="009A53D2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9A53D2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9A53D2" w:rsidRPr="009A53D2" w:rsidRDefault="009A53D2" w:rsidP="009A53D2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9A53D2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9A53D2" w:rsidRPr="009A53D2" w:rsidRDefault="009A53D2" w:rsidP="009A53D2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9A53D2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январе 2023 года </w:t>
      </w:r>
    </w:p>
    <w:p w:rsidR="009A53D2" w:rsidRPr="009A53D2" w:rsidRDefault="009A53D2" w:rsidP="009A53D2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9A53D2" w:rsidRPr="009A53D2" w:rsidRDefault="009A53D2" w:rsidP="009A53D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3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 в январе 2023 года.</w:t>
      </w:r>
    </w:p>
    <w:p w:rsidR="009A53D2" w:rsidRPr="009A53D2" w:rsidRDefault="009A53D2" w:rsidP="009A53D2">
      <w:pPr>
        <w:tabs>
          <w:tab w:val="right" w:pos="9355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3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A53D2" w:rsidRPr="009A53D2" w:rsidRDefault="009A53D2" w:rsidP="009A53D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53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9A53D2" w:rsidRPr="009A53D2" w:rsidRDefault="009A53D2" w:rsidP="009A53D2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3D2">
        <w:rPr>
          <w:rFonts w:ascii="Times New Roman" w:eastAsia="Calibri" w:hAnsi="Times New Roman" w:cs="Times New Roman"/>
          <w:b/>
          <w:sz w:val="24"/>
          <w:szCs w:val="24"/>
        </w:rPr>
        <w:t>Общая оценка</w:t>
      </w:r>
      <w:r w:rsidRPr="009A53D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9A53D2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9A53D2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 w:rsidRPr="009A53D2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9A53D2">
        <w:rPr>
          <w:rFonts w:ascii="Times New Roman" w:eastAsia="Calibri" w:hAnsi="Times New Roman" w:cs="Times New Roman"/>
          <w:sz w:val="24"/>
          <w:szCs w:val="24"/>
        </w:rPr>
        <w:t>В</w:t>
      </w:r>
      <w:r w:rsidRPr="009A53D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A53D2">
        <w:rPr>
          <w:rFonts w:ascii="Times New Roman" w:eastAsia="Calibri" w:hAnsi="Times New Roman" w:cs="Times New Roman"/>
          <w:sz w:val="24"/>
          <w:szCs w:val="24"/>
        </w:rPr>
        <w:t>январе, по данным государственной наблюдательной сети (приложение 1), в целом по городу отмечался низкий уровень загрязнени</w:t>
      </w:r>
      <w:r w:rsidR="00B93B9B">
        <w:rPr>
          <w:rFonts w:ascii="Times New Roman" w:eastAsia="Calibri" w:hAnsi="Times New Roman" w:cs="Times New Roman"/>
          <w:sz w:val="24"/>
          <w:szCs w:val="24"/>
        </w:rPr>
        <w:t xml:space="preserve">я атмосферного воздуха (СИ=0,9 </w:t>
      </w:r>
      <w:bookmarkStart w:id="0" w:name="_GoBack"/>
      <w:bookmarkEnd w:id="0"/>
      <w:r w:rsidRPr="009A53D2">
        <w:rPr>
          <w:rFonts w:ascii="Times New Roman" w:eastAsia="Calibri" w:hAnsi="Times New Roman" w:cs="Times New Roman"/>
          <w:sz w:val="24"/>
          <w:szCs w:val="24"/>
        </w:rPr>
        <w:t xml:space="preserve">и НП=0 %).  </w:t>
      </w:r>
    </w:p>
    <w:p w:rsidR="009A53D2" w:rsidRPr="009A53D2" w:rsidRDefault="009A53D2" w:rsidP="009A53D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3D2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9A53D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A53D2" w:rsidRPr="009A53D2" w:rsidRDefault="009A53D2" w:rsidP="009A53D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Концентрации диоксида и оксида азота, оксида углерода, взвешенных веществ,  формальдегида, сероводорода, фенола, хлорида водорода, ацетона, бензола, толуола, ксилола и этилбензола в атмосферном воздухе в целом по городу не превышали </w:t>
      </w: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установленных гигиенических нормативов. Содержание диоксида серы было ниже предела обнаружения.</w:t>
      </w:r>
    </w:p>
    <w:p w:rsidR="009A53D2" w:rsidRPr="009A53D2" w:rsidRDefault="009A53D2" w:rsidP="009A53D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определяемых загрязняющих веществ                      не превышали </w:t>
      </w:r>
      <w:r w:rsidRPr="009A53D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ПДКс.с.</w:t>
      </w: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A53D2" w:rsidRPr="009A53D2" w:rsidRDefault="009A53D2" w:rsidP="009A53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января значения среднесуточных концентраций диоксида азота находились на уровне 0,3–0,5 ПДКс.с.</w:t>
      </w:r>
    </w:p>
    <w:p w:rsidR="009A53D2" w:rsidRPr="009A53D2" w:rsidRDefault="009A53D2" w:rsidP="009A53D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                   с предыдущим месяцем представлены на рисунке 1.</w:t>
      </w:r>
    </w:p>
    <w:p w:rsidR="009A53D2" w:rsidRPr="009A53D2" w:rsidRDefault="009A53D2" w:rsidP="009A53D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3D2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8535" w:dyaOrig="30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pt;height:154pt" o:ole="">
            <v:imagedata r:id="rId8" o:title=""/>
          </v:shape>
          <o:OLEObject Type="Embed" ProgID="MSGraph.Chart.8" ShapeID="_x0000_i1025" DrawAspect="Content" ObjectID="_1738052142" r:id="rId9">
            <o:FieldCodes>\s</o:FieldCodes>
          </o:OLEObject>
        </w:object>
      </w:r>
    </w:p>
    <w:p w:rsidR="009A53D2" w:rsidRPr="009A53D2" w:rsidRDefault="009A53D2" w:rsidP="009A53D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A53D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9A53D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9A53D2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9A53D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9A53D2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9A53D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9A53D2" w:rsidRPr="009A53D2" w:rsidRDefault="009A53D2" w:rsidP="009A53D2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A53D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декабре 2022 г. и январе 2023 г.</w:t>
      </w:r>
    </w:p>
    <w:p w:rsidR="009A53D2" w:rsidRPr="009A53D2" w:rsidRDefault="009A53D2" w:rsidP="009A53D2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A53D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9A53D2" w:rsidRPr="009A53D2" w:rsidRDefault="009A53D2" w:rsidP="009A53D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</w:pP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предыдущим месяцем уровень загрязнения атмосферного воздуха  не изменился. По сравнению с январем 2022 года уровень загрязнения атмосферного воздуха в январе 2023 г. изменился от повышенного до низкого за счет снижения концентраций аммиака.</w:t>
      </w:r>
    </w:p>
    <w:p w:rsidR="009A53D2" w:rsidRPr="009A53D2" w:rsidRDefault="009A53D2" w:rsidP="009A53D2">
      <w:pPr>
        <w:tabs>
          <w:tab w:val="left" w:pos="0"/>
          <w:tab w:val="left" w:pos="720"/>
        </w:tabs>
        <w:suppressAutoHyphens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января 2023 г. в Московском регионе метеорологические условия способствовали рассеиванию загрязняющих веществ в атмосферном воздухе. </w:t>
      </w:r>
    </w:p>
    <w:p w:rsidR="009A53D2" w:rsidRPr="009A53D2" w:rsidRDefault="009A53D2" w:rsidP="009A53D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53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9A53D2" w:rsidRPr="009A53D2" w:rsidRDefault="009A53D2" w:rsidP="009A53D2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государственной наблюдательной сети, в Воскресенске, Дзержинском, Клину, Коломне, Мытищах, Подольске, Серпухове, Щелкове и Электростали, а также,      по данным автоматизированных пунктов территориальной системы наблюдений Московской области, в городах Домодеве, Ногинске, Орехове-Зуеве и Раменском был низкий уровень загрязнения атмосферного воздуха </w:t>
      </w:r>
      <w:bookmarkStart w:id="1" w:name="_Hlk127299087"/>
      <w:r w:rsidRPr="009A53D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(СИ≤1 и НП=0 </w:t>
      </w: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%). </w:t>
      </w:r>
      <w:bookmarkEnd w:id="1"/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Максимальные разовые концентрации определяемых загрязняющих веществ в воздухе не превышали установленных гигиенических нормативов.</w:t>
      </w:r>
    </w:p>
    <w:p w:rsidR="009A53D2" w:rsidRPr="009A53D2" w:rsidRDefault="009A53D2" w:rsidP="009A53D2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Среднемесячная концентрация формальдегида в атмосферном воздухе Серпухова составила 1,2 ПДК</w:t>
      </w:r>
      <w:r w:rsidRPr="009A53D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</w:p>
    <w:p w:rsidR="009A53D2" w:rsidRPr="009A53D2" w:rsidRDefault="009A53D2" w:rsidP="009A53D2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 сравнению с предыдущим месяцем понизился уровень загрязнения атмосферного воздуха в Серпухове (за счет снижения концентраций формальдегида)          и в Щелкове (за счет снижения концентраций хлорида водорода). По сравнению с январем 2022 года уровень загрязнения атмосферного воздуха в Воскресенске, Дзержинском, Клину, Коломне, Мытищах, Подольске, Серпухове, Щелкове и Электростали                     не изменился.  </w:t>
      </w:r>
    </w:p>
    <w:p w:rsidR="009A53D2" w:rsidRPr="009A53D2" w:rsidRDefault="009A53D2" w:rsidP="009A53D2">
      <w:pPr>
        <w:spacing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Hlk108631533"/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течение января эпизодических обследований  загрязнения атмосферного воздуха в Московской области </w:t>
      </w:r>
      <w:bookmarkEnd w:id="2"/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(г. Щелково, ул. Заречная,     дома 5, 7, 9 и ул. Центральная, д. 71/1; г. Серпухов, бульвар 65 лет Победы, д. 4                  и ул. Химиков, д. 1; г. Видное, ул. 8-я Линия, 10Б и 30-й километр Каширского шоссе, д. 7, стр.1; г. Мытищи, ул. Колонцова, д. 4 и Волковское шоссе, вл. 6А, стр. 1; г.о. Клин            /г. Клин, пл. Советская, д. 1 и Волоколамское шоссе, д. 25; д. Новощапово, д. 2/;                  г. Электросталь, ул. Второва, д. 10 и бульвар 60-летия Победы, д. 14; г. Воскресенск,       ул. Московская, д. 32 и ул. Быковского, д. 58; г.о. Коломна /с. Мячково, комплекс             по переработке отходов (КПО) «Юг»; г. Коломна, ул. Партизан, д.42/) превышений предельно допустимых концентраций определяемых загрязняющих веществ не выявили. </w:t>
      </w:r>
    </w:p>
    <w:p w:rsidR="009A53D2" w:rsidRPr="009A53D2" w:rsidRDefault="009A53D2" w:rsidP="009A53D2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A53D2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9A53D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9A53D2" w:rsidRPr="009A53D2" w:rsidRDefault="009A53D2" w:rsidP="009A53D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3D2">
        <w:rPr>
          <w:rFonts w:ascii="Times New Roman" w:eastAsia="Calibri" w:hAnsi="Times New Roman" w:cs="Times New Roman"/>
          <w:sz w:val="24"/>
          <w:szCs w:val="24"/>
        </w:rPr>
        <w:tab/>
        <w:t xml:space="preserve">По данным сети наблюдений за загрязнением поверхностных вод суши (приложение 2), на водных объектах Московского региона наблюдалось влияние оттепели: под воздействием положительных температур воздуха происходило разрушение ледяного покрова. Однако последовавшее затем резкое понижение температуры привело    к восстановлению ледяного покрова.  </w:t>
      </w:r>
    </w:p>
    <w:p w:rsidR="009A53D2" w:rsidRPr="009A53D2" w:rsidRDefault="009A53D2" w:rsidP="009A53D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3D2">
        <w:rPr>
          <w:rFonts w:ascii="Times New Roman" w:eastAsia="Calibri" w:hAnsi="Times New Roman" w:cs="Times New Roman"/>
          <w:sz w:val="24"/>
          <w:szCs w:val="24"/>
        </w:rPr>
        <w:tab/>
        <w:t xml:space="preserve">Температура воды в водных объектах региона колебалась в пределах от 1,8°С        (р. Протва у г. Вереи) до 3,2°С (р. Клязьма ниже г. Щелкова и г. Орехова-Зуева). </w:t>
      </w:r>
    </w:p>
    <w:p w:rsidR="009A53D2" w:rsidRPr="009A53D2" w:rsidRDefault="009A53D2" w:rsidP="009A53D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3D2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рН=7,9 (при норме рН=6,5-8,5). Минимальное значение водородного показателя (рН=7,7) наблюдалось в воде р. Яузы в черте г. Москвы, а максимальное (рН=8,0) – в воде р. Москвы у пос. Ильинское. </w:t>
      </w:r>
    </w:p>
    <w:p w:rsidR="009A53D2" w:rsidRPr="009A53D2" w:rsidRDefault="009A53D2" w:rsidP="009A53D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3D2">
        <w:rPr>
          <w:rFonts w:ascii="Times New Roman" w:eastAsia="Calibri" w:hAnsi="Times New Roman" w:cs="Times New Roman"/>
          <w:sz w:val="24"/>
          <w:szCs w:val="24"/>
        </w:rPr>
        <w:tab/>
      </w: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Кислородный режим водных объектов региона в целом был удовлетворительным. Содержание растворенного в воде кислорода составляло в среднем 6,9 мг/л (при норме     не ниже 6,0 мг/л). Минимальное содержание растворенного в воде кислорода (4,2 мг/л) было зарегистрировано в воде р. Воймеги ниже г. Рошали, а максимальное</w:t>
      </w:r>
      <w:r w:rsidRPr="009A53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(7,7 мг/л) –       в воде р. Оки выше г. Коломны. </w:t>
      </w:r>
    </w:p>
    <w:p w:rsidR="009A53D2" w:rsidRPr="009A53D2" w:rsidRDefault="009A53D2" w:rsidP="009A53D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 xml:space="preserve">Концентрация взвешенных веществ в воде водных объектов составляла в среднем         4,0 мг/л, при этом максимальное содержание взвешенных веществ (21,0 мг/л) было зарегистрировано в воде р. Клязьмы ниже г. Орехова-Зуева, а минимальное (0,5 мг/л) –        в воде р. Оки выше г. Коломны. </w:t>
      </w:r>
    </w:p>
    <w:p w:rsidR="009A53D2" w:rsidRPr="009A53D2" w:rsidRDefault="009A53D2" w:rsidP="009A53D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53D2">
        <w:rPr>
          <w:rFonts w:ascii="Times New Roman" w:eastAsia="Calibri" w:hAnsi="Times New Roman" w:cs="Times New Roman"/>
          <w:sz w:val="24"/>
          <w:szCs w:val="24"/>
        </w:rPr>
        <w:t>Содержание легкоокисляемых органических веществ по БПК</w:t>
      </w:r>
      <w:r w:rsidRPr="009A53D2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9A53D2">
        <w:rPr>
          <w:rFonts w:ascii="Times New Roman" w:eastAsia="Calibri" w:hAnsi="Times New Roman" w:cs="Times New Roman"/>
          <w:sz w:val="24"/>
          <w:szCs w:val="24"/>
        </w:rPr>
        <w:t xml:space="preserve"> и трудноокисляемых органических веществ по ХПК в среднем не превышало 3 ПДК</w:t>
      </w:r>
      <w:r w:rsidRPr="009A53D2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Pr="009A53D2">
        <w:rPr>
          <w:rFonts w:ascii="Times New Roman" w:eastAsia="Calibri" w:hAnsi="Times New Roman" w:cs="Times New Roman"/>
          <w:sz w:val="24"/>
          <w:szCs w:val="24"/>
        </w:rPr>
        <w:t>. Максимальное содержание легкоокисляемых органических веществ по БПК</w:t>
      </w:r>
      <w:r w:rsidRPr="009A53D2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9A53D2">
        <w:rPr>
          <w:rFonts w:ascii="Times New Roman" w:eastAsia="Calibri" w:hAnsi="Times New Roman" w:cs="Times New Roman"/>
          <w:sz w:val="24"/>
          <w:szCs w:val="24"/>
        </w:rPr>
        <w:t xml:space="preserve">(9 ПДК, уровень высокого загрязнения /ВЗ/) было зарегистрировано в воде р. Медвенки ниже деревни Большое Сареево, а минимальное (менее ПДК) – в воде р. Лопасни выше г. Чехова. Максимальное содержание трудноокисляемых органических веществ по ХПК (5 ПДК) было зарегистрировано в воде р. Воймеги ниже г. Рошали, а минимальное (1 ПДК) – в воде        р. Осетр в черте пос. Городна. </w:t>
      </w:r>
    </w:p>
    <w:p w:rsidR="009A53D2" w:rsidRPr="009A53D2" w:rsidRDefault="009A53D2" w:rsidP="009A53D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3D2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была менее ПДК, аммонийного азота –       2 ПДК, нитритного азота – 3 ПДК. Максимальное содержание нитратного азота (1 ПДК) было зарегистрировано в воде р. Воймеги ниже г. Рошали, нитритного азота (12 ПДК, уровень ВЗ) – в воде р. Рожаи в черте деревни Домодедово, аммонийного азота (12 ПДК, также уровень ВЗ) – в воде р. Закзы в черте деревни Большое Сареево и р. Рожаи в черте деревни Домодедово. Минимальное (менее ПДК) содержание нитритного и аммонийного азота было отмечено в воде р. Москвы у пос. Ильинское.  </w:t>
      </w:r>
    </w:p>
    <w:p w:rsidR="009A53D2" w:rsidRPr="009A53D2" w:rsidRDefault="009A53D2" w:rsidP="009A53D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3D2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тяжелых металлов в воде водных объектов региона в целом было невысоким: концентрации ионов хрома шестивалентного, свинца, никеля и меди                 в среднем были в пределах ПДК, ионов цинка – 4 ПДК. Максимальное содержание ионов цинка (8 ПДК) было зарегистрировано в воде р. Оки выше г. Серпухова, ионов меди         (2 ПДК) - в воде р. Москвы в черте г. Москвы (в районе Бесединского моста МКАД). </w:t>
      </w:r>
    </w:p>
    <w:p w:rsidR="009A53D2" w:rsidRPr="009A53D2" w:rsidRDefault="009A53D2" w:rsidP="009A53D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3D2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формальдегида, синтетических поверхностно-активных веществ (СПАВ) и нефтепродуктов в среднем не превышало нормативов ПДК, фенолов - 2 ПДК. Максимальное содержание фенолов (5 ПДК) было отмечено в воде р. Нерской в черте деревни Маришкино, нефтепродуктов (6 ПДК) – в воде р. Яузы в черте г. Москвы. </w:t>
      </w:r>
    </w:p>
    <w:p w:rsidR="009A53D2" w:rsidRPr="009A53D2" w:rsidRDefault="009A53D2" w:rsidP="009A53D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3D2">
        <w:rPr>
          <w:rFonts w:ascii="Times New Roman" w:eastAsia="Calibri" w:hAnsi="Times New Roman" w:cs="Times New Roman"/>
          <w:sz w:val="24"/>
          <w:szCs w:val="24"/>
        </w:rPr>
        <w:tab/>
        <w:t xml:space="preserve">Всего в январе 2023 года на водных объектах региона было зарегистрировано                                                                                            11 случаев ВЗ (таблица 1), случаев экстремально высокого загрязнения (ЭВЗ) зарегистрировано не было. Для сравнения: в январе 2022 года был зарегистрирован                            21 случай ВЗ, а случаев ЭВЗ зарегистрировано также не было. </w:t>
      </w:r>
    </w:p>
    <w:p w:rsidR="009A53D2" w:rsidRPr="009A53D2" w:rsidRDefault="009A53D2" w:rsidP="009A53D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3D2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январем 2022 года в отчетный период в водных объектах Московского региона по контролируемым показателям качества воды наблюдалось снижение содержания взвешенных веществ и повышение температуры воды.                    По остальным контролируемым показателям качества воды водных объектов существенных изменений отмечено не было. </w:t>
      </w:r>
    </w:p>
    <w:p w:rsidR="009A53D2" w:rsidRPr="009A53D2" w:rsidRDefault="009A53D2" w:rsidP="009A53D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9A53D2" w:rsidRPr="009A53D2" w:rsidRDefault="009A53D2" w:rsidP="009A53D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9A53D2" w:rsidRPr="009A53D2" w:rsidRDefault="009A53D2" w:rsidP="009A53D2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январе 2023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9A53D2" w:rsidRPr="009A53D2" w:rsidTr="005B3397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Концентрация(ПДК)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9A53D2" w:rsidRPr="009A53D2" w:rsidTr="005B3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нитритный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Рожая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11.01.2023</w:t>
            </w:r>
          </w:p>
        </w:tc>
      </w:tr>
      <w:tr w:rsidR="009A53D2" w:rsidRPr="009A53D2" w:rsidTr="005B3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Закза в черте деревни Большое Сареево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10.01.2023</w:t>
            </w:r>
          </w:p>
        </w:tc>
      </w:tr>
      <w:tr w:rsidR="009A53D2" w:rsidRPr="009A53D2" w:rsidTr="005B3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D2" w:rsidRPr="009A53D2" w:rsidRDefault="009A53D2" w:rsidP="009A5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Рожая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D2" w:rsidRPr="009A53D2" w:rsidRDefault="009A53D2" w:rsidP="009A5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11.01.2023 </w:t>
            </w:r>
          </w:p>
        </w:tc>
      </w:tr>
      <w:tr w:rsidR="009A53D2" w:rsidRPr="009A53D2" w:rsidTr="005B3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 органические вещества по БПК</w:t>
            </w: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Медвенка ниже деревни Большое Сареево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10.01.2023</w:t>
            </w:r>
          </w:p>
        </w:tc>
      </w:tr>
      <w:tr w:rsidR="009A53D2" w:rsidRPr="009A53D2" w:rsidTr="005B3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Рожая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11.01.2023</w:t>
            </w:r>
          </w:p>
        </w:tc>
      </w:tr>
      <w:tr w:rsidR="009A53D2" w:rsidRPr="009A53D2" w:rsidTr="005B3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D2" w:rsidRPr="009A53D2" w:rsidRDefault="009A53D2" w:rsidP="009A5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        р. Битцы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D2" w:rsidRPr="009A53D2" w:rsidRDefault="009A53D2" w:rsidP="009A5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11.01.2023</w:t>
            </w:r>
          </w:p>
        </w:tc>
      </w:tr>
      <w:tr w:rsidR="009A53D2" w:rsidRPr="009A53D2" w:rsidTr="005B3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11.01.2023</w:t>
            </w:r>
          </w:p>
        </w:tc>
      </w:tr>
      <w:tr w:rsidR="009A53D2" w:rsidRPr="009A53D2" w:rsidTr="005B3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ниже Бабьегородской плотины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09.01.2023</w:t>
            </w:r>
          </w:p>
        </w:tc>
      </w:tr>
      <w:tr w:rsidR="009A53D2" w:rsidRPr="009A53D2" w:rsidTr="005B3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D2" w:rsidRPr="009A53D2" w:rsidRDefault="009A53D2" w:rsidP="009A5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Бесединского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D2" w:rsidRPr="009A53D2" w:rsidRDefault="009A53D2" w:rsidP="009A5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09.01.2023</w:t>
            </w:r>
          </w:p>
        </w:tc>
      </w:tr>
      <w:tr w:rsidR="009A53D2" w:rsidRPr="009A53D2" w:rsidTr="005B3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D2" w:rsidRPr="009A53D2" w:rsidRDefault="009A53D2" w:rsidP="009A5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D2" w:rsidRPr="009A53D2" w:rsidRDefault="009A53D2" w:rsidP="009A5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11.01.2023</w:t>
            </w:r>
          </w:p>
        </w:tc>
      </w:tr>
      <w:tr w:rsidR="009A53D2" w:rsidRPr="009A53D2" w:rsidTr="005B339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D2" w:rsidRPr="009A53D2" w:rsidRDefault="009A53D2" w:rsidP="009A5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Нерская ниже г. Куровское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D2" w:rsidRPr="009A53D2" w:rsidRDefault="009A53D2" w:rsidP="009A53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24.01.2023</w:t>
            </w:r>
          </w:p>
        </w:tc>
      </w:tr>
    </w:tbl>
    <w:p w:rsidR="009A53D2" w:rsidRPr="009A53D2" w:rsidRDefault="009A53D2" w:rsidP="009A53D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A53D2" w:rsidRPr="009A53D2" w:rsidRDefault="009A53D2" w:rsidP="009A53D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рамках мониторинга качества воды в р. Москве в январе 2023 года были проанализированы осредненные данные по содержанию ряда загрязняющих веществ (легкоокисляемые органические вещества по БПК</w:t>
      </w:r>
      <w:r w:rsidRPr="009A53D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9A53D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</w:t>
      </w: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речной воде на расположенном в границах города участке реки от фонового створа (поселок Ильинское) до контрольного створа (Бесединский мост МКАД). </w:t>
      </w:r>
    </w:p>
    <w:p w:rsidR="009A53D2" w:rsidRPr="009A53D2" w:rsidRDefault="009A53D2" w:rsidP="009A53D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Результаты анализа выявили четкую закономерность в изменении качества речной воды. Так, если в фоновом створе у поселка Ильинское осредненные концентрации легкоокисляемых органических веществ по БПК</w:t>
      </w:r>
      <w:r w:rsidRPr="009A53D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нефтепродуктов и фенолов</w:t>
      </w:r>
      <w:r w:rsidRPr="009A53D2">
        <w:rPr>
          <w:rFonts w:ascii="Calibri" w:eastAsia="Calibri" w:hAnsi="Calibri" w:cs="Times New Roman"/>
          <w:sz w:val="26"/>
        </w:rPr>
        <w:t xml:space="preserve"> </w:t>
      </w: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находились в пределах от менее ПДК до 2 ПДК, то в контрольном створе (в районе Бесединского моста МКАД) из-за поступления сточных вод предприятий их значения повышались        до 2-4 ПДК (рисунок 2). Содержание ионов меди в обоих створах сохранялось в пределах норматива ПДК.</w:t>
      </w:r>
    </w:p>
    <w:p w:rsidR="009A53D2" w:rsidRPr="009A53D2" w:rsidRDefault="009A53D2" w:rsidP="009A53D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6"/>
          <w:szCs w:val="20"/>
          <w:lang w:eastAsia="ru-RU"/>
        </w:rPr>
      </w:pPr>
    </w:p>
    <w:p w:rsidR="009A53D2" w:rsidRPr="009A53D2" w:rsidRDefault="009A53D2" w:rsidP="009A53D2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3D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9DB5E54" wp14:editId="5FBE86EB">
            <wp:extent cx="5928995" cy="3806190"/>
            <wp:effectExtent l="0" t="0" r="14605" b="2286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A53D2" w:rsidRPr="009A53D2" w:rsidRDefault="009A53D2" w:rsidP="009A53D2">
      <w:pPr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9A53D2" w:rsidRPr="009A53D2" w:rsidRDefault="009A53D2" w:rsidP="009A53D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A53D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9A53D2" w:rsidRPr="009A53D2" w:rsidRDefault="009A53D2" w:rsidP="009A53D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9A53D2">
        <w:rPr>
          <w:rFonts w:ascii="Times New Roman" w:eastAsia="Calibri" w:hAnsi="Times New Roman" w:cs="Times New Roman"/>
          <w:b/>
          <w:sz w:val="20"/>
          <w:szCs w:val="20"/>
        </w:rPr>
        <w:t>в черте г. Москвы в январе 2023 года</w:t>
      </w:r>
    </w:p>
    <w:p w:rsidR="009A53D2" w:rsidRPr="009A53D2" w:rsidRDefault="009A53D2" w:rsidP="009A53D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A53D2" w:rsidRPr="009A53D2" w:rsidRDefault="009A53D2" w:rsidP="009A53D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A53D2" w:rsidRPr="009A53D2" w:rsidRDefault="009A53D2" w:rsidP="009A53D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A53D2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9A53D2">
        <w:rPr>
          <w:rFonts w:ascii="Times New Roman" w:eastAsia="Times New Roman" w:hAnsi="Times New Roman" w:cs="Times New Roman"/>
          <w:sz w:val="24"/>
          <w:szCs w:val="20"/>
          <w:lang w:eastAsia="ru-RU"/>
        </w:rPr>
        <w:t>в январе 2023 года на территории Москвы                      и Московской области оставалась стабильной. Значения плотности радиоактивных выпадений из атмосферы и мощности амбиентного эквивалента дозы гамма-излучения (МАЭД) были близки к фоновым.</w:t>
      </w:r>
    </w:p>
    <w:p w:rsidR="009A53D2" w:rsidRPr="009A53D2" w:rsidRDefault="009A53D2" w:rsidP="009A53D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A53D2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Средние значения концентрации радиоактивных аэрозолей в воздухе, по данным метеостанций (МС) Подмосковная и Тушино, составляли 18,5х10</w:t>
      </w:r>
      <w:r w:rsidRPr="009A53D2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9A53D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15,8х10</w:t>
      </w:r>
      <w:r w:rsidRPr="009A53D2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9A53D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9A53D2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3</w:t>
      </w:r>
      <w:r w:rsidRPr="009A53D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соответственно.</w:t>
      </w:r>
    </w:p>
    <w:p w:rsidR="009A53D2" w:rsidRPr="009A53D2" w:rsidRDefault="009A53D2" w:rsidP="009A53D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A53D2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ab/>
        <w:t>Плотность среднесуточных выпадений суммарной бета-активности по данным МС, расположенных в районе Балчуга, Выставки достижений народного хозяйства (ВДНХ), Ново-Иерусалима и Тушина, а также МС Подмосковной, составляла от 0,7 до 1,1 Бк/м</w:t>
      </w:r>
      <w:r w:rsidRPr="009A53D2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r w:rsidRPr="009A53D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в сутки.</w:t>
      </w:r>
    </w:p>
    <w:p w:rsidR="009A53D2" w:rsidRPr="009A53D2" w:rsidRDefault="009A53D2" w:rsidP="009A53D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A53D2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Средние значения МАЭД, по данным МС ВДНХ, Балчуг, Тушино, Немчиновка,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0,10 до 0,14 мкЗв/ч.</w:t>
      </w:r>
    </w:p>
    <w:p w:rsidR="009A53D2" w:rsidRPr="009A53D2" w:rsidRDefault="009A53D2" w:rsidP="009A53D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A53D2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9A53D2" w:rsidRPr="009A53D2" w:rsidRDefault="009A53D2" w:rsidP="009A53D2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A53D2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</w:p>
    <w:p w:rsidR="009A53D2" w:rsidRPr="009A53D2" w:rsidRDefault="009A53D2" w:rsidP="009A53D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53D2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9A53D2" w:rsidRPr="009A53D2" w:rsidRDefault="009A53D2" w:rsidP="009A53D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A53D2" w:rsidRPr="009A53D2" w:rsidRDefault="009A53D2" w:rsidP="009A53D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A53D2" w:rsidRPr="009A53D2" w:rsidRDefault="009A53D2" w:rsidP="009A53D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A53D2" w:rsidRPr="009A53D2" w:rsidRDefault="009A53D2" w:rsidP="009A53D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И.А. Шумаков  </w:t>
      </w:r>
    </w:p>
    <w:p w:rsidR="009A53D2" w:rsidRPr="009A53D2" w:rsidRDefault="009A53D2" w:rsidP="009A53D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Default="009A53D2" w:rsidP="009A53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53D2" w:rsidRDefault="009A53D2" w:rsidP="009A53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53D2" w:rsidRPr="009A53D2" w:rsidRDefault="009A53D2" w:rsidP="009A53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3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9A53D2" w:rsidRPr="009A53D2" w:rsidRDefault="009A53D2" w:rsidP="009A53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A53D2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9A53D2" w:rsidRPr="009A53D2" w:rsidRDefault="009A53D2" w:rsidP="009A53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A53D2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9A53D2" w:rsidRPr="009A53D2" w:rsidRDefault="009A53D2" w:rsidP="009A53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A53D2" w:rsidRPr="009A53D2" w:rsidRDefault="009A53D2" w:rsidP="009A53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9A53D2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2B4ACD60" wp14:editId="6FB593D8">
            <wp:extent cx="6020435" cy="7088505"/>
            <wp:effectExtent l="0" t="0" r="0" b="0"/>
            <wp:docPr id="3" name="Рисунок 3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70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3D2" w:rsidRPr="009A53D2" w:rsidRDefault="009A53D2" w:rsidP="009A53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9A53D2" w:rsidRPr="009A53D2" w:rsidRDefault="009A53D2" w:rsidP="009A53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A53D2" w:rsidRPr="009A53D2" w:rsidRDefault="009A53D2" w:rsidP="009A53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A53D2" w:rsidRPr="009A53D2" w:rsidRDefault="009A53D2" w:rsidP="009A53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A53D2" w:rsidRPr="009A53D2" w:rsidRDefault="009A53D2" w:rsidP="009A53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A53D2" w:rsidRPr="009A53D2" w:rsidRDefault="009A53D2" w:rsidP="009A53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A53D2" w:rsidRPr="009A53D2" w:rsidRDefault="009A53D2" w:rsidP="009A53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A53D2" w:rsidRPr="009A53D2" w:rsidRDefault="009A53D2" w:rsidP="009A53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A53D2" w:rsidRPr="009A53D2" w:rsidRDefault="009A53D2" w:rsidP="009A53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9A53D2" w:rsidRPr="009A53D2" w:rsidTr="005B3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</w:p>
        </w:tc>
      </w:tr>
      <w:tr w:rsidR="009A53D2" w:rsidRPr="009A53D2" w:rsidTr="005B3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A53D2" w:rsidRPr="009A53D2" w:rsidTr="005B3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Ср. Овчинниковский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9A53D2" w:rsidRPr="009A53D2" w:rsidTr="005B3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Б. Сухаревский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9A53D2" w:rsidRPr="009A53D2" w:rsidTr="005B3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9A53D2" w:rsidRPr="009A53D2" w:rsidTr="005B3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пром.,</w:t>
            </w:r>
          </w:p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(промзона «Верхние Котлы»,</w:t>
            </w:r>
          </w:p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промзона «Нагатино»)</w:t>
            </w:r>
          </w:p>
        </w:tc>
      </w:tr>
      <w:tr w:rsidR="009A53D2" w:rsidRPr="009A53D2" w:rsidTr="005B3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4-й Вешняковский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9A53D2" w:rsidRPr="009A53D2" w:rsidTr="005B3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9A53D2" w:rsidRPr="009A53D2" w:rsidTr="005B3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ул. Шоссейая,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(промзона «Люблино-Перерва»)</w:t>
            </w:r>
          </w:p>
        </w:tc>
      </w:tr>
      <w:tr w:rsidR="009A53D2" w:rsidRPr="009A53D2" w:rsidTr="005B3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р-н «Хорошево-Мневники» (Магистральная промзона)</w:t>
            </w:r>
          </w:p>
        </w:tc>
      </w:tr>
      <w:tr w:rsidR="009A53D2" w:rsidRPr="009A53D2" w:rsidTr="005B3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9A53D2" w:rsidRPr="009A53D2" w:rsidTr="005B3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ул. Чертановская,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р-н «Чертаново Центральное»</w:t>
            </w:r>
          </w:p>
        </w:tc>
      </w:tr>
      <w:tr w:rsidR="009A53D2" w:rsidRPr="009A53D2" w:rsidTr="005B3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ул. Долгопрудная,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(промзона «Коровино»)</w:t>
            </w:r>
          </w:p>
        </w:tc>
      </w:tr>
      <w:tr w:rsidR="009A53D2" w:rsidRPr="009A53D2" w:rsidTr="005B3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ул. Ивантеевская,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р-н «Богородское»</w:t>
            </w:r>
          </w:p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(промзона «Калошино»)</w:t>
            </w:r>
          </w:p>
        </w:tc>
      </w:tr>
      <w:tr w:rsidR="009A53D2" w:rsidRPr="009A53D2" w:rsidTr="005B3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9A53D2" w:rsidRPr="009A53D2" w:rsidTr="005B3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ул. Шипиловская,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р-н «Зябликово»</w:t>
            </w:r>
          </w:p>
        </w:tc>
      </w:tr>
      <w:tr w:rsidR="009A53D2" w:rsidRPr="009A53D2" w:rsidTr="005B33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ул. Братеевская,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р-н «Братеево»</w:t>
            </w:r>
          </w:p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lang w:eastAsia="ru-RU"/>
              </w:rPr>
              <w:t>(промзона «Чагино»)</w:t>
            </w:r>
          </w:p>
        </w:tc>
      </w:tr>
    </w:tbl>
    <w:p w:rsidR="009A53D2" w:rsidRPr="009A53D2" w:rsidRDefault="009A53D2" w:rsidP="009A53D2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9A53D2" w:rsidRPr="009A53D2" w:rsidRDefault="009A53D2" w:rsidP="009A53D2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9A53D2" w:rsidRPr="009A53D2" w:rsidRDefault="009A53D2" w:rsidP="009A53D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53D2" w:rsidRPr="009A53D2" w:rsidRDefault="009A53D2" w:rsidP="009A53D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3D2" w:rsidRPr="009A53D2" w:rsidRDefault="009A53D2" w:rsidP="009A53D2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A53D2">
        <w:rPr>
          <w:rFonts w:ascii="Times New Roman" w:eastAsia="Calibri" w:hAnsi="Times New Roman" w:cs="Times New Roman"/>
          <w:sz w:val="24"/>
          <w:szCs w:val="24"/>
        </w:rPr>
        <w:tab/>
      </w:r>
      <w:r w:rsidRPr="009A53D2">
        <w:rPr>
          <w:rFonts w:ascii="Times New Roman" w:eastAsia="Calibri" w:hAnsi="Times New Roman" w:cs="Times New Roman"/>
          <w:sz w:val="24"/>
          <w:szCs w:val="24"/>
        </w:rPr>
        <w:tab/>
      </w:r>
      <w:r w:rsidRPr="009A53D2">
        <w:rPr>
          <w:rFonts w:ascii="Times New Roman" w:eastAsia="Calibri" w:hAnsi="Times New Roman" w:cs="Times New Roman"/>
          <w:sz w:val="24"/>
          <w:szCs w:val="24"/>
        </w:rPr>
        <w:tab/>
      </w:r>
      <w:r w:rsidRPr="009A53D2">
        <w:rPr>
          <w:rFonts w:ascii="Times New Roman" w:eastAsia="Calibri" w:hAnsi="Times New Roman" w:cs="Times New Roman"/>
          <w:sz w:val="24"/>
          <w:szCs w:val="24"/>
        </w:rPr>
        <w:tab/>
      </w:r>
      <w:r w:rsidRPr="009A53D2">
        <w:rPr>
          <w:rFonts w:ascii="Times New Roman" w:eastAsia="Calibri" w:hAnsi="Times New Roman" w:cs="Times New Roman"/>
          <w:sz w:val="24"/>
          <w:szCs w:val="24"/>
        </w:rPr>
        <w:tab/>
      </w:r>
      <w:r w:rsidRPr="009A53D2">
        <w:rPr>
          <w:rFonts w:ascii="Times New Roman" w:eastAsia="Calibri" w:hAnsi="Times New Roman" w:cs="Times New Roman"/>
          <w:sz w:val="24"/>
          <w:szCs w:val="24"/>
        </w:rPr>
        <w:tab/>
      </w:r>
      <w:r w:rsidRPr="009A53D2">
        <w:rPr>
          <w:rFonts w:ascii="Times New Roman" w:eastAsia="Calibri" w:hAnsi="Times New Roman" w:cs="Times New Roman"/>
          <w:sz w:val="24"/>
          <w:szCs w:val="24"/>
        </w:rPr>
        <w:tab/>
      </w:r>
      <w:r w:rsidRPr="009A53D2">
        <w:rPr>
          <w:rFonts w:ascii="Times New Roman" w:eastAsia="Calibri" w:hAnsi="Times New Roman" w:cs="Times New Roman"/>
          <w:sz w:val="24"/>
          <w:szCs w:val="24"/>
        </w:rPr>
        <w:tab/>
      </w:r>
      <w:r w:rsidRPr="009A53D2">
        <w:rPr>
          <w:rFonts w:ascii="Times New Roman" w:eastAsia="Calibri" w:hAnsi="Times New Roman" w:cs="Times New Roman"/>
          <w:sz w:val="24"/>
          <w:szCs w:val="24"/>
        </w:rPr>
        <w:tab/>
      </w:r>
      <w:r w:rsidRPr="009A53D2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9A53D2" w:rsidRPr="009A53D2" w:rsidRDefault="009A53D2" w:rsidP="009A53D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A53D2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  на территории г. Москвы и Московской области, </w:t>
      </w:r>
    </w:p>
    <w:p w:rsidR="009A53D2" w:rsidRPr="009A53D2" w:rsidRDefault="009A53D2" w:rsidP="009A53D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A53D2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9A53D2" w:rsidRPr="009A53D2" w:rsidRDefault="009A53D2" w:rsidP="009A53D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A53D2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9A53D2" w:rsidRPr="009A53D2" w:rsidRDefault="009A53D2" w:rsidP="009A53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474"/>
        <w:gridCol w:w="3228"/>
        <w:gridCol w:w="1741"/>
        <w:gridCol w:w="1688"/>
        <w:gridCol w:w="1949"/>
      </w:tblGrid>
      <w:tr w:rsidR="009A53D2" w:rsidRPr="009A53D2" w:rsidTr="005B339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кар-те-</w:t>
            </w:r>
          </w:p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</w:p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НАБЛЮДЕ-НИЙ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Иваньковское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(восточнее)  плотины Иваньков-ской ГЭС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Лама (впадает в Иваньковское водохра-нилище)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Красно-заводск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г. Красно-заводск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Красно-заводск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г. Красно-заводск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Трехсвят-ское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с. Трех-святское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9A53D2" w:rsidRPr="009A53D2" w:rsidTr="005B3397">
        <w:trPr>
          <w:trHeight w:val="595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выше г. Сер-пухов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Сер- пухов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выше г. Ка-шира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Ка- шира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выше г. Ко- ломна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Ко-ломна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9A53D2" w:rsidRPr="009A53D2" w:rsidTr="005B3397">
        <w:trPr>
          <w:trHeight w:val="545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Протва (приток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Ве-рея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Протва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Ве-рея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На-ро-Фоминск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На- ро-Фоминск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Сер-пухов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Сер- пухов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Лопасня (приток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Че-хов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Лопасня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Че-хов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Городна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п. Городна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9A53D2" w:rsidRPr="009A53D2" w:rsidTr="005B3397">
        <w:trPr>
          <w:trHeight w:val="588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Красно-видово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Красно-видово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1,4 км ниже    г. Звенигород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Ильин-ское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водозабора Рублевской водопровод-ной станции, 0,1 км ниже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п. Ильинское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г. Москва; 0,3 км ниже Ба-бьегородской плотины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в районе Бе-сединского моста МКАД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д. Н.Мячково; 1,5 км выше места впаде-ния р. Пахра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1,0 км ниже места впаде-ния р. Пехор-ка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Воскре-сенск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г. Воскре-сенск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Воскре-сенск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г. Воскре-сенск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Коломна; 0,1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Рузское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Солодово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Солодово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9A53D2" w:rsidRPr="009A53D2" w:rsidTr="005B3397">
        <w:trPr>
          <w:trHeight w:val="537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Озернинское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Нововол-ково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Нововол-ково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Истринское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Солнечногор-ский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0,4 км ниже   д. Павловская Слобода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</w:p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Большое Сареево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9A53D2" w:rsidRPr="009A53D2" w:rsidRDefault="009A53D2" w:rsidP="009A53D2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Большое Сареево; 0,03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Закза (приток </w:t>
            </w:r>
          </w:p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Большое Сареево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д. Большое Сареево;     0,3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</w:p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9A53D2" w:rsidRPr="009A53D2" w:rsidRDefault="009A53D2" w:rsidP="009A53D2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3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дольск, ниже места впаде-ния руч. Чер-ный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По-дольск, ниже места впаде-ния р. Битца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Домоде-дово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д. Домоде-дово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Нерская (приток </w:t>
            </w:r>
          </w:p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0,2 км выше г. Куровское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Нерская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1,4 км ниже   г. Куровское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 Зуевский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Нерская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Мариш-кино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д. Мариш-кино; 0,1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Клязьма (приток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>г. Лосино-Петровский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Лосино-Петровский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Павлов-ский Посад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Павлов-ский Посад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Воря (приток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Красно-армейск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Красно-армейск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Воря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Красно-армейск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Воймега (приток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9A53D2" w:rsidRPr="009A53D2" w:rsidTr="005B3397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Воймега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3D2" w:rsidRPr="009A53D2" w:rsidRDefault="009A53D2" w:rsidP="009A53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9A53D2" w:rsidRPr="009A53D2" w:rsidRDefault="009A53D2" w:rsidP="009A53D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A53D2" w:rsidRPr="009A53D2" w:rsidRDefault="009A53D2" w:rsidP="009A53D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A53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9A53D2" w:rsidRPr="009A53D2" w:rsidRDefault="009A53D2" w:rsidP="009A53D2">
      <w:pPr>
        <w:rPr>
          <w:rFonts w:ascii="Times New Roman" w:eastAsia="Calibri" w:hAnsi="Times New Roman" w:cs="Times New Roman"/>
          <w:sz w:val="24"/>
          <w:szCs w:val="24"/>
        </w:rPr>
      </w:pPr>
    </w:p>
    <w:p w:rsidR="009A53D2" w:rsidRPr="009A53D2" w:rsidRDefault="009A53D2" w:rsidP="009A53D2">
      <w:pPr>
        <w:rPr>
          <w:rFonts w:ascii="Times New Roman" w:eastAsia="Calibri" w:hAnsi="Times New Roman" w:cs="Times New Roman"/>
          <w:sz w:val="24"/>
          <w:szCs w:val="24"/>
        </w:rPr>
      </w:pPr>
    </w:p>
    <w:p w:rsidR="009A53D2" w:rsidRPr="009A53D2" w:rsidRDefault="009A53D2" w:rsidP="009A53D2">
      <w:pPr>
        <w:rPr>
          <w:rFonts w:ascii="Times New Roman" w:eastAsia="Calibri" w:hAnsi="Times New Roman" w:cs="Times New Roman"/>
          <w:sz w:val="24"/>
          <w:szCs w:val="24"/>
        </w:rPr>
      </w:pPr>
    </w:p>
    <w:p w:rsidR="009A53D2" w:rsidRPr="009A53D2" w:rsidRDefault="009A53D2" w:rsidP="009A53D2">
      <w:pPr>
        <w:rPr>
          <w:rFonts w:ascii="Times New Roman" w:eastAsia="Calibri" w:hAnsi="Times New Roman" w:cs="Times New Roman"/>
          <w:sz w:val="24"/>
          <w:szCs w:val="24"/>
        </w:rPr>
      </w:pPr>
      <w:r w:rsidRPr="009A53D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D2E930" wp14:editId="07489B9A">
            <wp:extent cx="6064250" cy="4769485"/>
            <wp:effectExtent l="0" t="0" r="0" b="0"/>
            <wp:docPr id="4" name="Рисунок 4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47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3D2" w:rsidRPr="009A53D2" w:rsidRDefault="009A53D2" w:rsidP="009A53D2">
      <w:pPr>
        <w:rPr>
          <w:rFonts w:ascii="Calibri" w:eastAsia="Calibri" w:hAnsi="Calibri" w:cs="Times New Roman"/>
        </w:rPr>
      </w:pPr>
    </w:p>
    <w:p w:rsidR="009A53D2" w:rsidRPr="009A53D2" w:rsidRDefault="009A53D2" w:rsidP="009A53D2"/>
    <w:p w:rsidR="009A53D2" w:rsidRPr="009A53D2" w:rsidRDefault="009A53D2" w:rsidP="009A53D2"/>
    <w:p w:rsidR="009A53D2" w:rsidRPr="009A53D2" w:rsidRDefault="009A53D2" w:rsidP="009A53D2"/>
    <w:p w:rsidR="009A53D2" w:rsidRPr="009A53D2" w:rsidRDefault="009A53D2" w:rsidP="009A53D2"/>
    <w:p w:rsidR="009A53D2" w:rsidRPr="009A53D2" w:rsidRDefault="009A53D2" w:rsidP="009A53D2"/>
    <w:p w:rsidR="009A53D2" w:rsidRPr="009A53D2" w:rsidRDefault="009A53D2" w:rsidP="009A53D2"/>
    <w:p w:rsidR="009A53D2" w:rsidRPr="009A53D2" w:rsidRDefault="009A53D2" w:rsidP="009A53D2"/>
    <w:p w:rsidR="009A53D2" w:rsidRPr="009A53D2" w:rsidRDefault="009A53D2" w:rsidP="009A53D2"/>
    <w:p w:rsidR="009A53D2" w:rsidRPr="009A53D2" w:rsidRDefault="009A53D2" w:rsidP="009A53D2"/>
    <w:p w:rsidR="009A53D2" w:rsidRPr="009A53D2" w:rsidRDefault="009A53D2" w:rsidP="009A53D2"/>
    <w:p w:rsidR="004A120C" w:rsidRDefault="004A120C"/>
    <w:sectPr w:rsidR="004A120C" w:rsidSect="00C55BC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5D6" w:rsidRDefault="003615D6" w:rsidP="009A53D2">
      <w:pPr>
        <w:spacing w:after="0" w:line="240" w:lineRule="auto"/>
      </w:pPr>
      <w:r>
        <w:separator/>
      </w:r>
    </w:p>
  </w:endnote>
  <w:endnote w:type="continuationSeparator" w:id="0">
    <w:p w:rsidR="003615D6" w:rsidRDefault="003615D6" w:rsidP="009A5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4305" w:rsidRDefault="003615D6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4305" w:rsidRDefault="003615D6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4305" w:rsidRDefault="003615D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5D6" w:rsidRDefault="003615D6" w:rsidP="009A53D2">
      <w:pPr>
        <w:spacing w:after="0" w:line="240" w:lineRule="auto"/>
      </w:pPr>
      <w:r>
        <w:separator/>
      </w:r>
    </w:p>
  </w:footnote>
  <w:footnote w:type="continuationSeparator" w:id="0">
    <w:p w:rsidR="003615D6" w:rsidRDefault="003615D6" w:rsidP="009A53D2">
      <w:pPr>
        <w:spacing w:after="0" w:line="240" w:lineRule="auto"/>
      </w:pPr>
      <w:r>
        <w:continuationSeparator/>
      </w:r>
    </w:p>
  </w:footnote>
  <w:footnote w:id="1">
    <w:p w:rsidR="009A53D2" w:rsidRPr="00DE0423" w:rsidRDefault="009A53D2" w:rsidP="009A53D2">
      <w:pPr>
        <w:pStyle w:val="31"/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Style w:val="af6"/>
        </w:rPr>
        <w:footnoteRef/>
      </w:r>
      <w:r>
        <w:t xml:space="preserve"> </w:t>
      </w:r>
      <w:r w:rsidRPr="00DE0423">
        <w:rPr>
          <w:rFonts w:ascii="Times New Roman" w:eastAsia="Times New Roman" w:hAnsi="Times New Roman"/>
          <w:sz w:val="20"/>
          <w:szCs w:val="20"/>
          <w:lang w:eastAsia="ru-RU"/>
        </w:rPr>
        <w:t>Уровень з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агрязнения воздуха оценивается </w:t>
      </w:r>
      <w:r w:rsidRPr="00DE0423">
        <w:rPr>
          <w:rFonts w:ascii="Times New Roman" w:eastAsia="Times New Roman" w:hAnsi="Times New Roman"/>
          <w:sz w:val="20"/>
          <w:szCs w:val="20"/>
          <w:lang w:eastAsia="ru-RU"/>
        </w:rPr>
        <w:t xml:space="preserve">при сравнении  концентраций загрязняющих веществ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</w:t>
      </w:r>
      <w:r w:rsidRPr="00DE0423">
        <w:rPr>
          <w:rFonts w:ascii="Times New Roman" w:eastAsia="Times New Roman" w:hAnsi="Times New Roman"/>
          <w:sz w:val="20"/>
          <w:szCs w:val="20"/>
          <w:lang w:eastAsia="ru-RU"/>
        </w:rPr>
        <w:t>(в мг/м</w:t>
      </w:r>
      <w:r w:rsidRPr="00DE0423"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 w:rsidRPr="00DE0423">
        <w:rPr>
          <w:rFonts w:ascii="Times New Roman" w:eastAsia="Times New Roman" w:hAnsi="Times New Roman"/>
          <w:sz w:val="20"/>
          <w:szCs w:val="20"/>
          <w:lang w:eastAsia="ru-RU"/>
        </w:rPr>
        <w:t>, мкг/м</w:t>
      </w:r>
      <w:r w:rsidRPr="00DE0423"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 w:rsidRPr="00DE0423">
        <w:rPr>
          <w:rFonts w:ascii="Times New Roman" w:eastAsia="Times New Roman" w:hAnsi="Times New Roman"/>
          <w:sz w:val="20"/>
          <w:szCs w:val="20"/>
          <w:lang w:eastAsia="ru-RU"/>
        </w:rPr>
        <w:t>) с ПДК.</w:t>
      </w:r>
    </w:p>
    <w:p w:rsidR="009A53D2" w:rsidRPr="00DE0423" w:rsidRDefault="009A53D2" w:rsidP="009A53D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ПДК м.р. – предельно допустимая максимальная разовая концентрация загрязняющего вещества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в воздухе населенных мест, в мг/м</w:t>
      </w:r>
      <w:r w:rsidRPr="00DE042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9A53D2" w:rsidRPr="00DE0423" w:rsidRDefault="009A53D2" w:rsidP="009A53D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ПДК с.с. – предельно допустимая среднесуточная концентрация загрязняющего вещества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в воздухе населенных мест, мг/м</w:t>
      </w:r>
      <w:r w:rsidRPr="00DE042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9A53D2" w:rsidRPr="00DE0423" w:rsidRDefault="009A53D2" w:rsidP="009A53D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показателя: </w:t>
      </w:r>
    </w:p>
    <w:p w:rsidR="009A53D2" w:rsidRPr="00DE0423" w:rsidRDefault="009A53D2" w:rsidP="009A53D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стандартный индекс СИ – наибольшая, измеренная за короткий период времени, концентрация загрязняющего вещества, деленная на ПДКм.р.;</w:t>
      </w:r>
    </w:p>
    <w:p w:rsidR="009A53D2" w:rsidRPr="00DE0423" w:rsidRDefault="009A53D2" w:rsidP="009A53D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наибольшая повторяемость превышения ПДКм.р. – НП,%.</w:t>
      </w:r>
    </w:p>
    <w:p w:rsidR="009A53D2" w:rsidRPr="00DE0423" w:rsidRDefault="009A53D2" w:rsidP="009A53D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Уровень загрязнения воздуха  оценивается по 4 категориям значения СИ и НП:</w:t>
      </w:r>
    </w:p>
    <w:p w:rsidR="009A53D2" w:rsidRPr="00DE0423" w:rsidRDefault="009A53D2" w:rsidP="009A53D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низкий при СИ =  0 - 1, НП = 0%;</w:t>
      </w:r>
    </w:p>
    <w:p w:rsidR="009A53D2" w:rsidRPr="00DE0423" w:rsidRDefault="009A53D2" w:rsidP="009A53D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повышенный при СИ =2-4, НП = 1-19%;</w:t>
      </w:r>
    </w:p>
    <w:p w:rsidR="009A53D2" w:rsidRPr="00DE0423" w:rsidRDefault="009A53D2" w:rsidP="009A53D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 при СИ=5-10, НП=20-50%;</w:t>
      </w:r>
    </w:p>
    <w:p w:rsidR="009A53D2" w:rsidRPr="00DE0423" w:rsidRDefault="009A53D2" w:rsidP="009A53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очень высокий при СИ &gt;10, НП &gt;50%.</w:t>
      </w:r>
    </w:p>
    <w:p w:rsidR="009A53D2" w:rsidRPr="00DE0423" w:rsidRDefault="009A53D2" w:rsidP="009A53D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СИ и НП попадают в разные градации, то уровень загрязнения оценивается по наибольшему значению из этих показателей.</w:t>
      </w:r>
    </w:p>
    <w:p w:rsidR="009A53D2" w:rsidRDefault="009A53D2" w:rsidP="009A53D2">
      <w:pPr>
        <w:pStyle w:val="a4"/>
        <w:rPr>
          <w:rFonts w:ascii="Times New Roman" w:hAnsi="Times New Roman"/>
        </w:rPr>
      </w:pPr>
    </w:p>
  </w:footnote>
  <w:footnote w:id="2">
    <w:p w:rsidR="009A53D2" w:rsidRDefault="009A53D2" w:rsidP="009A53D2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>Показатели загрязнения воды водных объектов приводятся в ПДК для воды водных объектов рыбохозяйственного значения</w:t>
      </w:r>
    </w:p>
    <w:p w:rsidR="009A53D2" w:rsidRDefault="009A53D2" w:rsidP="009A53D2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4305" w:rsidRDefault="003615D6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3972287"/>
      <w:docPartObj>
        <w:docPartGallery w:val="Page Numbers (Top of Page)"/>
        <w:docPartUnique/>
      </w:docPartObj>
    </w:sdtPr>
    <w:sdtEndPr/>
    <w:sdtContent>
      <w:p w:rsidR="00854305" w:rsidRDefault="0053556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3B9B">
          <w:rPr>
            <w:noProof/>
          </w:rPr>
          <w:t>4</w:t>
        </w:r>
        <w:r>
          <w:fldChar w:fldCharType="end"/>
        </w:r>
      </w:p>
    </w:sdtContent>
  </w:sdt>
  <w:p w:rsidR="00854305" w:rsidRDefault="003615D6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4305" w:rsidRDefault="003615D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2DE0"/>
    <w:multiLevelType w:val="hybridMultilevel"/>
    <w:tmpl w:val="5026444A"/>
    <w:lvl w:ilvl="0" w:tplc="540E2F88">
      <w:numFmt w:val="bullet"/>
      <w:lvlText w:val="-"/>
      <w:lvlJc w:val="left"/>
      <w:pPr>
        <w:ind w:left="16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">
    <w:nsid w:val="1C5344C4"/>
    <w:multiLevelType w:val="hybridMultilevel"/>
    <w:tmpl w:val="970E6A2A"/>
    <w:lvl w:ilvl="0" w:tplc="4B28BC48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20213809"/>
    <w:multiLevelType w:val="hybridMultilevel"/>
    <w:tmpl w:val="427855E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ED85619"/>
    <w:multiLevelType w:val="hybridMultilevel"/>
    <w:tmpl w:val="6D444798"/>
    <w:lvl w:ilvl="0" w:tplc="04190001">
      <w:start w:val="1"/>
      <w:numFmt w:val="bullet"/>
      <w:lvlText w:val=""/>
      <w:lvlJc w:val="left"/>
      <w:pPr>
        <w:ind w:left="14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9" w:hanging="360"/>
      </w:pPr>
      <w:rPr>
        <w:rFonts w:ascii="Wingdings" w:hAnsi="Wingdings" w:hint="default"/>
      </w:rPr>
    </w:lvl>
  </w:abstractNum>
  <w:abstractNum w:abstractNumId="4">
    <w:nsid w:val="35DF5C13"/>
    <w:multiLevelType w:val="hybridMultilevel"/>
    <w:tmpl w:val="E244ECE0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>
    <w:nsid w:val="4D9B6793"/>
    <w:multiLevelType w:val="hybridMultilevel"/>
    <w:tmpl w:val="5BCAAFD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>
    <w:nsid w:val="597C36C8"/>
    <w:multiLevelType w:val="hybridMultilevel"/>
    <w:tmpl w:val="B0F2C4DC"/>
    <w:lvl w:ilvl="0" w:tplc="04190001">
      <w:start w:val="1"/>
      <w:numFmt w:val="bullet"/>
      <w:lvlText w:val=""/>
      <w:lvlJc w:val="left"/>
      <w:pPr>
        <w:ind w:left="2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5" w:hanging="360"/>
      </w:pPr>
      <w:rPr>
        <w:rFonts w:ascii="Wingdings" w:hAnsi="Wingdings" w:hint="default"/>
      </w:rPr>
    </w:lvl>
  </w:abstractNum>
  <w:abstractNum w:abstractNumId="7">
    <w:nsid w:val="60DC1330"/>
    <w:multiLevelType w:val="hybridMultilevel"/>
    <w:tmpl w:val="D75EBA62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8">
    <w:nsid w:val="760C071D"/>
    <w:multiLevelType w:val="hybridMultilevel"/>
    <w:tmpl w:val="23F26A86"/>
    <w:lvl w:ilvl="0" w:tplc="540E2F88">
      <w:numFmt w:val="bullet"/>
      <w:lvlText w:val="-"/>
      <w:lvlJc w:val="left"/>
      <w:pPr>
        <w:ind w:left="10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A266BB"/>
    <w:multiLevelType w:val="hybridMultilevel"/>
    <w:tmpl w:val="F56CF914"/>
    <w:lvl w:ilvl="0" w:tplc="540E2F88">
      <w:numFmt w:val="bullet"/>
      <w:lvlText w:val="-"/>
      <w:lvlJc w:val="left"/>
      <w:pPr>
        <w:ind w:left="10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0">
    <w:nsid w:val="7C6C0662"/>
    <w:multiLevelType w:val="hybridMultilevel"/>
    <w:tmpl w:val="007E5866"/>
    <w:lvl w:ilvl="0" w:tplc="540E2F88">
      <w:numFmt w:val="bullet"/>
      <w:lvlText w:val="-"/>
      <w:lvlJc w:val="left"/>
      <w:pPr>
        <w:ind w:left="16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1"/>
  </w:num>
  <w:num w:numId="5">
    <w:abstractNumId w:val="6"/>
  </w:num>
  <w:num w:numId="6">
    <w:abstractNumId w:val="2"/>
  </w:num>
  <w:num w:numId="7">
    <w:abstractNumId w:val="3"/>
  </w:num>
  <w:num w:numId="8">
    <w:abstractNumId w:val="9"/>
  </w:num>
  <w:num w:numId="9">
    <w:abstractNumId w:val="0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F44"/>
    <w:rsid w:val="003615D6"/>
    <w:rsid w:val="004A120C"/>
    <w:rsid w:val="00535568"/>
    <w:rsid w:val="00676143"/>
    <w:rsid w:val="009A53D2"/>
    <w:rsid w:val="00AD3F44"/>
    <w:rsid w:val="00B93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53D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9A53D2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53D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53D2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53D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53D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A53D2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A53D2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A53D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A53D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9A53D2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9A53D2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9A53D2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9A53D2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9A53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9A53D2"/>
    <w:rPr>
      <w:rFonts w:ascii="Consolas" w:hAnsi="Consolas" w:cs="Consolas"/>
      <w:sz w:val="20"/>
      <w:szCs w:val="20"/>
    </w:rPr>
  </w:style>
  <w:style w:type="paragraph" w:customStyle="1" w:styleId="11">
    <w:name w:val="Строгий1"/>
    <w:link w:val="a3"/>
    <w:rsid w:val="009A53D2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9A53D2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unhideWhenUsed/>
    <w:rsid w:val="009A53D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9A53D2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9A53D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9A53D2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9A53D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9A53D2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9A53D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9A53D2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Основной текст Знак"/>
    <w:basedOn w:val="a0"/>
    <w:link w:val="ad"/>
    <w:uiPriority w:val="99"/>
    <w:semiHidden/>
    <w:rsid w:val="009A53D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c"/>
    <w:uiPriority w:val="99"/>
    <w:semiHidden/>
    <w:unhideWhenUsed/>
    <w:rsid w:val="009A53D2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9A53D2"/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9A53D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9A53D2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3">
    <w:name w:val="Основной текст с отступом Знак1"/>
    <w:basedOn w:val="a0"/>
    <w:uiPriority w:val="99"/>
    <w:semiHidden/>
    <w:rsid w:val="009A53D2"/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9A53D2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9A53D2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9A53D2"/>
  </w:style>
  <w:style w:type="paragraph" w:styleId="31">
    <w:name w:val="Body Text Indent 3"/>
    <w:basedOn w:val="a"/>
    <w:link w:val="32"/>
    <w:uiPriority w:val="99"/>
    <w:semiHidden/>
    <w:unhideWhenUsed/>
    <w:rsid w:val="009A53D2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9A53D2"/>
    <w:rPr>
      <w:rFonts w:ascii="Calibri" w:eastAsia="Calibri" w:hAnsi="Calibri" w:cs="Times New Roman"/>
      <w:sz w:val="16"/>
      <w:szCs w:val="16"/>
    </w:rPr>
  </w:style>
  <w:style w:type="character" w:customStyle="1" w:styleId="af0">
    <w:name w:val="Текст Знак"/>
    <w:basedOn w:val="a0"/>
    <w:link w:val="af1"/>
    <w:uiPriority w:val="99"/>
    <w:semiHidden/>
    <w:rsid w:val="009A53D2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Plain Text"/>
    <w:basedOn w:val="a"/>
    <w:link w:val="af0"/>
    <w:uiPriority w:val="99"/>
    <w:semiHidden/>
    <w:unhideWhenUsed/>
    <w:rsid w:val="009A5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Текст Знак1"/>
    <w:basedOn w:val="a0"/>
    <w:uiPriority w:val="99"/>
    <w:semiHidden/>
    <w:rsid w:val="009A53D2"/>
    <w:rPr>
      <w:rFonts w:ascii="Consolas" w:hAnsi="Consolas" w:cs="Consolas"/>
      <w:sz w:val="21"/>
      <w:szCs w:val="21"/>
    </w:rPr>
  </w:style>
  <w:style w:type="character" w:customStyle="1" w:styleId="af2">
    <w:name w:val="Текст выноски Знак"/>
    <w:basedOn w:val="a0"/>
    <w:link w:val="af3"/>
    <w:uiPriority w:val="99"/>
    <w:semiHidden/>
    <w:rsid w:val="009A53D2"/>
    <w:rPr>
      <w:rFonts w:ascii="Tahoma" w:eastAsia="Calibri" w:hAnsi="Tahoma" w:cs="Tahoma"/>
      <w:sz w:val="16"/>
      <w:szCs w:val="16"/>
    </w:rPr>
  </w:style>
  <w:style w:type="paragraph" w:styleId="af3">
    <w:name w:val="Balloon Text"/>
    <w:basedOn w:val="a"/>
    <w:link w:val="af2"/>
    <w:uiPriority w:val="99"/>
    <w:semiHidden/>
    <w:unhideWhenUsed/>
    <w:rsid w:val="009A53D2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9A53D2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9A53D2"/>
    <w:pPr>
      <w:ind w:left="720"/>
      <w:contextualSpacing/>
    </w:pPr>
  </w:style>
  <w:style w:type="paragraph" w:customStyle="1" w:styleId="af5">
    <w:name w:val="Знак"/>
    <w:basedOn w:val="a"/>
    <w:rsid w:val="009A53D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9A53D2"/>
    <w:rPr>
      <w:vertAlign w:val="superscript"/>
    </w:rPr>
  </w:style>
  <w:style w:type="character" w:customStyle="1" w:styleId="16">
    <w:name w:val="Название Знак1"/>
    <w:basedOn w:val="a0"/>
    <w:uiPriority w:val="10"/>
    <w:rsid w:val="009A53D2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z-">
    <w:name w:val="z-Начало формы Знак"/>
    <w:basedOn w:val="a0"/>
    <w:link w:val="z-0"/>
    <w:uiPriority w:val="99"/>
    <w:semiHidden/>
    <w:rsid w:val="009A53D2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9A53D2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9A53D2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9A53D2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9A53D2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9A53D2"/>
    <w:rPr>
      <w:rFonts w:ascii="Arial" w:hAnsi="Arial" w:cs="Arial"/>
      <w:vanish/>
      <w:sz w:val="16"/>
      <w:szCs w:val="16"/>
    </w:rPr>
  </w:style>
  <w:style w:type="paragraph" w:styleId="33">
    <w:name w:val="Body Text 3"/>
    <w:basedOn w:val="a"/>
    <w:link w:val="34"/>
    <w:rsid w:val="009A53D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4">
    <w:name w:val="Основной текст 3 Знак"/>
    <w:basedOn w:val="a0"/>
    <w:link w:val="33"/>
    <w:rsid w:val="009A53D2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af7">
    <w:name w:val="Знак"/>
    <w:basedOn w:val="a"/>
    <w:rsid w:val="009A53D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53D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9A53D2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53D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53D2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53D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53D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A53D2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A53D2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A53D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A53D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9A53D2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9A53D2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9A53D2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9A53D2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9A53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9A53D2"/>
    <w:rPr>
      <w:rFonts w:ascii="Consolas" w:hAnsi="Consolas" w:cs="Consolas"/>
      <w:sz w:val="20"/>
      <w:szCs w:val="20"/>
    </w:rPr>
  </w:style>
  <w:style w:type="paragraph" w:customStyle="1" w:styleId="11">
    <w:name w:val="Строгий1"/>
    <w:link w:val="a3"/>
    <w:rsid w:val="009A53D2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9A53D2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unhideWhenUsed/>
    <w:rsid w:val="009A53D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9A53D2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9A53D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9A53D2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9A53D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9A53D2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9A53D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9A53D2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Основной текст Знак"/>
    <w:basedOn w:val="a0"/>
    <w:link w:val="ad"/>
    <w:uiPriority w:val="99"/>
    <w:semiHidden/>
    <w:rsid w:val="009A53D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c"/>
    <w:uiPriority w:val="99"/>
    <w:semiHidden/>
    <w:unhideWhenUsed/>
    <w:rsid w:val="009A53D2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9A53D2"/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9A53D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9A53D2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3">
    <w:name w:val="Основной текст с отступом Знак1"/>
    <w:basedOn w:val="a0"/>
    <w:uiPriority w:val="99"/>
    <w:semiHidden/>
    <w:rsid w:val="009A53D2"/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9A53D2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9A53D2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9A53D2"/>
  </w:style>
  <w:style w:type="paragraph" w:styleId="31">
    <w:name w:val="Body Text Indent 3"/>
    <w:basedOn w:val="a"/>
    <w:link w:val="32"/>
    <w:uiPriority w:val="99"/>
    <w:semiHidden/>
    <w:unhideWhenUsed/>
    <w:rsid w:val="009A53D2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9A53D2"/>
    <w:rPr>
      <w:rFonts w:ascii="Calibri" w:eastAsia="Calibri" w:hAnsi="Calibri" w:cs="Times New Roman"/>
      <w:sz w:val="16"/>
      <w:szCs w:val="16"/>
    </w:rPr>
  </w:style>
  <w:style w:type="character" w:customStyle="1" w:styleId="af0">
    <w:name w:val="Текст Знак"/>
    <w:basedOn w:val="a0"/>
    <w:link w:val="af1"/>
    <w:uiPriority w:val="99"/>
    <w:semiHidden/>
    <w:rsid w:val="009A53D2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Plain Text"/>
    <w:basedOn w:val="a"/>
    <w:link w:val="af0"/>
    <w:uiPriority w:val="99"/>
    <w:semiHidden/>
    <w:unhideWhenUsed/>
    <w:rsid w:val="009A5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Текст Знак1"/>
    <w:basedOn w:val="a0"/>
    <w:uiPriority w:val="99"/>
    <w:semiHidden/>
    <w:rsid w:val="009A53D2"/>
    <w:rPr>
      <w:rFonts w:ascii="Consolas" w:hAnsi="Consolas" w:cs="Consolas"/>
      <w:sz w:val="21"/>
      <w:szCs w:val="21"/>
    </w:rPr>
  </w:style>
  <w:style w:type="character" w:customStyle="1" w:styleId="af2">
    <w:name w:val="Текст выноски Знак"/>
    <w:basedOn w:val="a0"/>
    <w:link w:val="af3"/>
    <w:uiPriority w:val="99"/>
    <w:semiHidden/>
    <w:rsid w:val="009A53D2"/>
    <w:rPr>
      <w:rFonts w:ascii="Tahoma" w:eastAsia="Calibri" w:hAnsi="Tahoma" w:cs="Tahoma"/>
      <w:sz w:val="16"/>
      <w:szCs w:val="16"/>
    </w:rPr>
  </w:style>
  <w:style w:type="paragraph" w:styleId="af3">
    <w:name w:val="Balloon Text"/>
    <w:basedOn w:val="a"/>
    <w:link w:val="af2"/>
    <w:uiPriority w:val="99"/>
    <w:semiHidden/>
    <w:unhideWhenUsed/>
    <w:rsid w:val="009A53D2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9A53D2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9A53D2"/>
    <w:pPr>
      <w:ind w:left="720"/>
      <w:contextualSpacing/>
    </w:pPr>
  </w:style>
  <w:style w:type="paragraph" w:customStyle="1" w:styleId="af5">
    <w:name w:val="Знак"/>
    <w:basedOn w:val="a"/>
    <w:rsid w:val="009A53D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9A53D2"/>
    <w:rPr>
      <w:vertAlign w:val="superscript"/>
    </w:rPr>
  </w:style>
  <w:style w:type="character" w:customStyle="1" w:styleId="16">
    <w:name w:val="Название Знак1"/>
    <w:basedOn w:val="a0"/>
    <w:uiPriority w:val="10"/>
    <w:rsid w:val="009A53D2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z-">
    <w:name w:val="z-Начало формы Знак"/>
    <w:basedOn w:val="a0"/>
    <w:link w:val="z-0"/>
    <w:uiPriority w:val="99"/>
    <w:semiHidden/>
    <w:rsid w:val="009A53D2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9A53D2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9A53D2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9A53D2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9A53D2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9A53D2"/>
    <w:rPr>
      <w:rFonts w:ascii="Arial" w:hAnsi="Arial" w:cs="Arial"/>
      <w:vanish/>
      <w:sz w:val="16"/>
      <w:szCs w:val="16"/>
    </w:rPr>
  </w:style>
  <w:style w:type="paragraph" w:styleId="33">
    <w:name w:val="Body Text 3"/>
    <w:basedOn w:val="a"/>
    <w:link w:val="34"/>
    <w:rsid w:val="009A53D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4">
    <w:name w:val="Основной текст 3 Знак"/>
    <w:basedOn w:val="a0"/>
    <w:link w:val="33"/>
    <w:rsid w:val="009A53D2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af7">
    <w:name w:val="Знак"/>
    <w:basedOn w:val="a"/>
    <w:rsid w:val="009A53D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PokKa4Wod\Export\&#1069;&#1082;&#1089;&#1087;&#1086;&#1088;&#1090;_&#1052;&#1086;&#1089;&#1082;&#1086;&#1074;&#1089;&#1082;&#1080;&#1081;%20&#1062;&#1043;&#1052;&#1057;_2023_&#1052;&#1077;&#1089;&#1103;&#1094;&#1099;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Отчёт!$C$47:$C$48</c:f>
              <c:strCache>
                <c:ptCount val="1"/>
                <c:pt idx="0">
                  <c:v>концентрация, ПДК Медь</c:v>
                </c:pt>
              </c:strCache>
            </c:strRef>
          </c:tx>
          <c:spPr>
            <a:pattFill prst="smGri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accent1"/>
              </a:solidFill>
            </a:ln>
          </c:spPr>
          <c:invertIfNegative val="0"/>
          <c:cat>
            <c:strRef>
              <c:f>Отчёт!$B$49:$B$51</c:f>
              <c:strCache>
                <c:ptCount val="3"/>
                <c:pt idx="0">
                  <c:v>0,1 км ниже п. Ильинское</c:v>
                </c:pt>
                <c:pt idx="1">
                  <c:v>0,3 км ниже Бабьегородской пл.</c:v>
                </c:pt>
                <c:pt idx="2">
                  <c:v>0,01 км ниже Бесединского моста</c:v>
                </c:pt>
              </c:strCache>
            </c:strRef>
          </c:cat>
          <c:val>
            <c:numRef>
              <c:f>Отчёт!$C$49:$C$51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1.4</c:v>
                </c:pt>
              </c:numCache>
            </c:numRef>
          </c:val>
        </c:ser>
        <c:ser>
          <c:idx val="1"/>
          <c:order val="1"/>
          <c:tx>
            <c:strRef>
              <c:f>Отчёт!$D$47:$D$48</c:f>
              <c:strCache>
                <c:ptCount val="1"/>
                <c:pt idx="0">
                  <c:v>концентрация, ПДК Фенолы</c:v>
                </c:pt>
              </c:strCache>
            </c:strRef>
          </c:tx>
          <c:invertIfNegative val="0"/>
          <c:cat>
            <c:strRef>
              <c:f>Отчёт!$B$49:$B$51</c:f>
              <c:strCache>
                <c:ptCount val="3"/>
                <c:pt idx="0">
                  <c:v>0,1 км ниже п. Ильинское</c:v>
                </c:pt>
                <c:pt idx="1">
                  <c:v>0,3 км ниже Бабьегородской пл.</c:v>
                </c:pt>
                <c:pt idx="2">
                  <c:v>0,01 км ниже Бесединского моста</c:v>
                </c:pt>
              </c:strCache>
            </c:strRef>
          </c:cat>
          <c:val>
            <c:numRef>
              <c:f>Отчёт!$D$49:$D$51</c:f>
              <c:numCache>
                <c:formatCode>General</c:formatCode>
                <c:ptCount val="3"/>
                <c:pt idx="0">
                  <c:v>1</c:v>
                </c:pt>
                <c:pt idx="1">
                  <c:v>1.8</c:v>
                </c:pt>
                <c:pt idx="2">
                  <c:v>2.2999999999999998</c:v>
                </c:pt>
              </c:numCache>
            </c:numRef>
          </c:val>
        </c:ser>
        <c:ser>
          <c:idx val="2"/>
          <c:order val="2"/>
          <c:tx>
            <c:strRef>
              <c:f>Отчёт!$E$47:$E$48</c:f>
              <c:strCache>
                <c:ptCount val="1"/>
                <c:pt idx="0">
                  <c:v>концентрация, ПДК Нефтепродукты</c:v>
                </c:pt>
              </c:strCache>
            </c:strRef>
          </c:tx>
          <c:spPr>
            <a:pattFill prst="dashUpDiag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cat>
            <c:strRef>
              <c:f>Отчёт!$B$49:$B$51</c:f>
              <c:strCache>
                <c:ptCount val="3"/>
                <c:pt idx="0">
                  <c:v>0,1 км ниже п. Ильинское</c:v>
                </c:pt>
                <c:pt idx="1">
                  <c:v>0,3 км ниже Бабьегородской пл.</c:v>
                </c:pt>
                <c:pt idx="2">
                  <c:v>0,01 км ниже Бесединского моста</c:v>
                </c:pt>
              </c:strCache>
            </c:strRef>
          </c:cat>
          <c:val>
            <c:numRef>
              <c:f>Отчёт!$E$49:$E$51</c:f>
              <c:numCache>
                <c:formatCode>General</c:formatCode>
                <c:ptCount val="3"/>
                <c:pt idx="0">
                  <c:v>0.4</c:v>
                </c:pt>
                <c:pt idx="1">
                  <c:v>0.8</c:v>
                </c:pt>
                <c:pt idx="2">
                  <c:v>3</c:v>
                </c:pt>
              </c:numCache>
            </c:numRef>
          </c:val>
        </c:ser>
        <c:ser>
          <c:idx val="3"/>
          <c:order val="3"/>
          <c:tx>
            <c:strRef>
              <c:f>Отчёт!$F$47:$F$48</c:f>
              <c:strCache>
                <c:ptCount val="1"/>
                <c:pt idx="0">
                  <c:v>концентрация, ПДК БПК5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accent1"/>
              </a:solidFill>
            </a:ln>
          </c:spPr>
          <c:invertIfNegative val="0"/>
          <c:cat>
            <c:strRef>
              <c:f>Отчёт!$B$49:$B$51</c:f>
              <c:strCache>
                <c:ptCount val="3"/>
                <c:pt idx="0">
                  <c:v>0,1 км ниже п. Ильинское</c:v>
                </c:pt>
                <c:pt idx="1">
                  <c:v>0,3 км ниже Бабьегородской пл.</c:v>
                </c:pt>
                <c:pt idx="2">
                  <c:v>0,01 км ниже Бесединского моста</c:v>
                </c:pt>
              </c:strCache>
            </c:strRef>
          </c:cat>
          <c:val>
            <c:numRef>
              <c:f>Отчёт!$F$49:$F$51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3.8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3954944"/>
        <c:axId val="193956480"/>
        <c:axId val="0"/>
      </c:bar3DChart>
      <c:catAx>
        <c:axId val="193954944"/>
        <c:scaling>
          <c:orientation val="minMax"/>
        </c:scaling>
        <c:delete val="0"/>
        <c:axPos val="b"/>
        <c:majorTickMark val="out"/>
        <c:minorTickMark val="none"/>
        <c:tickLblPos val="nextTo"/>
        <c:crossAx val="193956480"/>
        <c:crosses val="autoZero"/>
        <c:auto val="1"/>
        <c:lblAlgn val="ctr"/>
        <c:lblOffset val="100"/>
        <c:noMultiLvlLbl val="0"/>
      </c:catAx>
      <c:valAx>
        <c:axId val="193956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3954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2704</Words>
  <Characters>15414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2023-02-16T08:29:00Z</dcterms:created>
  <dcterms:modified xsi:type="dcterms:W3CDTF">2023-02-16T08:29:00Z</dcterms:modified>
</cp:coreProperties>
</file>